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68707D" w:rsidRPr="009D1849" w14:paraId="767D549E" w14:textId="77777777" w:rsidTr="00990EF7">
        <w:trPr>
          <w:trHeight w:val="3352"/>
        </w:trPr>
        <w:tc>
          <w:tcPr>
            <w:tcW w:w="10598" w:type="dxa"/>
            <w:gridSpan w:val="2"/>
            <w:noWrap/>
          </w:tcPr>
          <w:p w14:paraId="38D12558" w14:textId="24E94A31" w:rsidR="008B3F9E" w:rsidRPr="009D1849" w:rsidRDefault="008B3F9E" w:rsidP="00255F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Plain English explanation</w:t>
            </w:r>
          </w:p>
          <w:p w14:paraId="24CFF333" w14:textId="77777777" w:rsidR="001C2436" w:rsidRPr="009D1849" w:rsidRDefault="001C2436" w:rsidP="00255F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7DBC67C" w14:textId="4C3040D9" w:rsidR="006C553E" w:rsidRPr="009D1849" w:rsidRDefault="006C553E" w:rsidP="006C553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Part of the national response to the </w:t>
            </w:r>
            <w:r w:rsidR="009730E7">
              <w:rPr>
                <w:rFonts w:ascii="Arial" w:eastAsia="Calibri" w:hAnsi="Arial" w:cs="Arial"/>
                <w:sz w:val="24"/>
                <w:szCs w:val="24"/>
              </w:rPr>
              <w:t>COVID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-19 pandemic is the need to record the details of </w:t>
            </w:r>
            <w:r w:rsidR="00240F4F" w:rsidRPr="009D1849">
              <w:rPr>
                <w:rFonts w:ascii="Arial" w:eastAsia="Calibri" w:hAnsi="Arial" w:cs="Arial"/>
                <w:sz w:val="24"/>
                <w:szCs w:val="24"/>
              </w:rPr>
              <w:t>individual</w:t>
            </w:r>
            <w:r w:rsidR="00194B98" w:rsidRPr="009D1849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240F4F" w:rsidRPr="009D18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who have been vaccinated against </w:t>
            </w:r>
            <w:r w:rsidR="009730E7">
              <w:rPr>
                <w:rFonts w:ascii="Arial" w:eastAsia="Calibri" w:hAnsi="Arial" w:cs="Arial"/>
                <w:sz w:val="24"/>
                <w:szCs w:val="24"/>
              </w:rPr>
              <w:t>COVID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-19. Vaccinations are normally undertaken in GP practice or community settings. With </w:t>
            </w:r>
            <w:r w:rsidR="009730E7">
              <w:rPr>
                <w:rFonts w:ascii="Arial" w:eastAsia="Calibri" w:hAnsi="Arial" w:cs="Arial"/>
                <w:sz w:val="24"/>
                <w:szCs w:val="24"/>
              </w:rPr>
              <w:t>COVID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-19 vaccinations, this will be undertaken in a variety of care settings and for the majority of </w:t>
            </w:r>
            <w:proofErr w:type="gramStart"/>
            <w:r w:rsidR="00A01904" w:rsidRPr="009D1849">
              <w:rPr>
                <w:rFonts w:ascii="Arial" w:eastAsia="Calibri" w:hAnsi="Arial" w:cs="Arial"/>
                <w:sz w:val="24"/>
                <w:szCs w:val="24"/>
              </w:rPr>
              <w:t>individual</w:t>
            </w:r>
            <w:r w:rsidR="006548C1" w:rsidRPr="009D1849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A01904" w:rsidRPr="009D1849">
              <w:rPr>
                <w:rFonts w:ascii="Arial" w:eastAsia="Calibri" w:hAnsi="Arial" w:cs="Arial"/>
                <w:sz w:val="24"/>
                <w:szCs w:val="24"/>
              </w:rPr>
              <w:t>,</w:t>
            </w:r>
            <w:proofErr w:type="gramEnd"/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 vaccinations will be managed by “lead providers” on behalf of local health and care organisations. </w:t>
            </w:r>
          </w:p>
          <w:p w14:paraId="755A6A4C" w14:textId="77777777" w:rsidR="006C553E" w:rsidRPr="009D1849" w:rsidRDefault="006C553E" w:rsidP="006C553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B366D8" w14:textId="38793DB3" w:rsidR="00CC4722" w:rsidRPr="00990EF7" w:rsidRDefault="006C553E" w:rsidP="00D0540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eastAsia="Calibri" w:hAnsi="Arial" w:cs="Arial"/>
                <w:sz w:val="24"/>
                <w:szCs w:val="24"/>
              </w:rPr>
              <w:t>Across England</w:t>
            </w:r>
            <w:r w:rsidR="00D36B9B" w:rsidRPr="009D184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 a variety of lead providers and systems are being used to manage the vaccination process</w:t>
            </w:r>
            <w:r w:rsidR="00990EF7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Pr="009D1849">
              <w:rPr>
                <w:rFonts w:ascii="Arial" w:eastAsia="Calibri" w:hAnsi="Arial" w:cs="Arial"/>
                <w:sz w:val="24"/>
                <w:szCs w:val="24"/>
              </w:rPr>
              <w:t xml:space="preserve">The sharing of this information is necessary to enable the coordinated and effective roll-out of this vaccination programme to </w:t>
            </w:r>
            <w:r w:rsidR="00960C4B" w:rsidRPr="009D1849">
              <w:rPr>
                <w:rFonts w:ascii="Arial" w:eastAsia="Calibri" w:hAnsi="Arial" w:cs="Arial"/>
                <w:sz w:val="24"/>
                <w:szCs w:val="24"/>
              </w:rPr>
              <w:t>individuals across England</w:t>
            </w:r>
            <w:r w:rsidR="001B6889" w:rsidRPr="009D184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7B02" w:rsidRPr="009D1849" w14:paraId="6F424B79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41241DAC" w14:textId="77777777" w:rsidR="00CB1B71" w:rsidRPr="009D1849" w:rsidRDefault="00CB1B71" w:rsidP="00255F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849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9D1849">
              <w:rPr>
                <w:rFonts w:ascii="Arial" w:hAnsi="Arial" w:cs="Arial"/>
                <w:b/>
                <w:bCs/>
                <w:sz w:val="24"/>
                <w:szCs w:val="24"/>
              </w:rPr>
              <w:t>Controller</w:t>
            </w:r>
            <w:r w:rsidRPr="009D1849">
              <w:rPr>
                <w:rFonts w:ascii="Arial" w:hAnsi="Arial" w:cs="Arial"/>
                <w:sz w:val="24"/>
                <w:szCs w:val="24"/>
              </w:rPr>
              <w:t xml:space="preserve"> contact details</w:t>
            </w:r>
          </w:p>
          <w:p w14:paraId="21931518" w14:textId="77777777" w:rsidR="00CB1B71" w:rsidRPr="009D1849" w:rsidRDefault="00CB1B71" w:rsidP="00255F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9D09BF" w14:textId="77777777" w:rsidR="00B7041D" w:rsidRPr="009D1849" w:rsidRDefault="00B7041D" w:rsidP="00390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14:paraId="7A2B13B4" w14:textId="77777777" w:rsidR="00547EF3" w:rsidRPr="00547EF3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Al-</w:t>
            </w:r>
            <w:proofErr w:type="spellStart"/>
            <w:r w:rsidRPr="00547EF3">
              <w:rPr>
                <w:rFonts w:ascii="Arial" w:hAnsi="Arial" w:cs="Arial"/>
                <w:sz w:val="24"/>
                <w:szCs w:val="24"/>
              </w:rPr>
              <w:t>Shafa</w:t>
            </w:r>
            <w:proofErr w:type="spellEnd"/>
            <w:r w:rsidRPr="00547EF3">
              <w:rPr>
                <w:rFonts w:ascii="Arial" w:hAnsi="Arial" w:cs="Arial"/>
                <w:sz w:val="24"/>
                <w:szCs w:val="24"/>
              </w:rPr>
              <w:t xml:space="preserve"> Medical Centre</w:t>
            </w:r>
          </w:p>
          <w:p w14:paraId="619FEB9B" w14:textId="77777777" w:rsidR="00547EF3" w:rsidRPr="00547EF3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5-7 Little Oaks Road</w:t>
            </w:r>
          </w:p>
          <w:p w14:paraId="4F1E8607" w14:textId="77777777" w:rsidR="00547EF3" w:rsidRPr="00547EF3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Aston</w:t>
            </w:r>
          </w:p>
          <w:p w14:paraId="6108A9E2" w14:textId="77777777" w:rsidR="00547EF3" w:rsidRPr="00547EF3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Birmingham</w:t>
            </w:r>
          </w:p>
          <w:p w14:paraId="246A4029" w14:textId="77777777" w:rsidR="00547EF3" w:rsidRPr="00547EF3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B6 6JY</w:t>
            </w:r>
          </w:p>
          <w:p w14:paraId="7356D0FF" w14:textId="1B2C1E71" w:rsidR="00FD28E6" w:rsidRPr="00917C78" w:rsidRDefault="00547EF3" w:rsidP="00547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7EF3">
              <w:rPr>
                <w:rFonts w:ascii="Arial" w:hAnsi="Arial" w:cs="Arial"/>
                <w:sz w:val="24"/>
                <w:szCs w:val="24"/>
              </w:rPr>
              <w:t>Tel: 0121 328 1977</w:t>
            </w:r>
            <w:bookmarkStart w:id="0" w:name="_GoBack"/>
            <w:bookmarkEnd w:id="0"/>
          </w:p>
          <w:p w14:paraId="7D8B978F" w14:textId="251E0A90" w:rsidR="006A6874" w:rsidRPr="009D1849" w:rsidRDefault="006A6874" w:rsidP="00D0540E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B1B71" w:rsidRPr="009D1849" w14:paraId="7FE46B26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5D564AFB" w14:textId="77777777" w:rsidR="00CB1B71" w:rsidRPr="009D1849" w:rsidRDefault="00CB1B71" w:rsidP="00255F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849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9D1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r w:rsidR="003902E4" w:rsidRPr="009D184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9D1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rotection </w:t>
            </w:r>
            <w:r w:rsidR="003902E4" w:rsidRPr="009D184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9D1849">
              <w:rPr>
                <w:rFonts w:ascii="Arial" w:hAnsi="Arial" w:cs="Arial"/>
                <w:b/>
                <w:bCs/>
                <w:sz w:val="24"/>
                <w:szCs w:val="24"/>
              </w:rPr>
              <w:t>fficer</w:t>
            </w:r>
            <w:r w:rsidR="003902E4" w:rsidRPr="009D1849">
              <w:rPr>
                <w:rFonts w:ascii="Arial" w:hAnsi="Arial" w:cs="Arial"/>
                <w:sz w:val="24"/>
                <w:szCs w:val="24"/>
              </w:rPr>
              <w:t xml:space="preserve"> contact details</w:t>
            </w:r>
          </w:p>
          <w:p w14:paraId="528759EC" w14:textId="77777777" w:rsidR="00CB1B71" w:rsidRPr="009D1849" w:rsidRDefault="00CB1B71" w:rsidP="00CB1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918B4D" w14:textId="77777777" w:rsidR="00CB1B71" w:rsidRPr="009D1849" w:rsidRDefault="00CB1B71" w:rsidP="00390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noWrap/>
          </w:tcPr>
          <w:p w14:paraId="04B3DFBF" w14:textId="1F33E6F1" w:rsidR="008E4EFC" w:rsidRPr="00917C78" w:rsidRDefault="00990EF7" w:rsidP="008E4E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Umar Sabat, Data Protection Officer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hyperlink r:id="rId11" w:history="1">
              <w:r w:rsidR="006750AD">
                <w:rPr>
                  <w:rStyle w:val="Hyperlink"/>
                  <w:rFonts w:ascii="Arial" w:hAnsi="Arial" w:cs="Arial"/>
                  <w:sz w:val="24"/>
                  <w:szCs w:val="24"/>
                </w:rPr>
                <w:t>sdsmyhealthcare.ig@nhs.net</w:t>
              </w:r>
            </w:hyperlink>
            <w:r w:rsidR="006750AD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99D746" w14:textId="742FA603" w:rsidR="00F76C44" w:rsidRPr="0043087A" w:rsidRDefault="00F76C44" w:rsidP="00D054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B02" w:rsidRPr="009D1849" w14:paraId="00797BA3" w14:textId="77777777" w:rsidTr="004A465C">
        <w:trPr>
          <w:cantSplit/>
          <w:trHeight w:val="347"/>
        </w:trPr>
        <w:tc>
          <w:tcPr>
            <w:tcW w:w="3227" w:type="dxa"/>
            <w:noWrap/>
          </w:tcPr>
          <w:p w14:paraId="78EF7F05" w14:textId="77777777" w:rsidR="002C7B02" w:rsidRPr="009D1849" w:rsidRDefault="00CB1B71" w:rsidP="00385A61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3) </w:t>
            </w:r>
            <w:r w:rsidR="002C7B02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Purpose</w:t>
            </w:r>
            <w:r w:rsidR="002C7B02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of </w:t>
            </w:r>
            <w:r w:rsidR="00536A6E" w:rsidRPr="009D1849">
              <w:rPr>
                <w:rFonts w:ascii="Arial" w:eastAsia="Times New Roman" w:hAnsi="Arial" w:cs="Arial"/>
                <w:color w:val="auto"/>
                <w:lang w:eastAsia="en-US"/>
              </w:rPr>
              <w:t>the processing</w:t>
            </w:r>
          </w:p>
        </w:tc>
        <w:tc>
          <w:tcPr>
            <w:tcW w:w="7371" w:type="dxa"/>
            <w:noWrap/>
          </w:tcPr>
          <w:p w14:paraId="26F15546" w14:textId="45109520" w:rsidR="000E1C64" w:rsidRDefault="00D0540E" w:rsidP="00D0540E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The purpose of the envisaged data flows is to effectively deliver and document the delivery of vaccinations for </w:t>
            </w:r>
            <w:r w:rsidR="009730E7">
              <w:rPr>
                <w:rFonts w:ascii="Arial" w:eastAsia="Times New Roman" w:hAnsi="Arial" w:cs="Arial"/>
                <w:color w:val="auto"/>
                <w:lang w:eastAsia="en-US"/>
              </w:rPr>
              <w:t>COVID</w:t>
            </w: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-19 to </w:t>
            </w:r>
            <w:r w:rsidR="00990EF7">
              <w:rPr>
                <w:rFonts w:ascii="Arial" w:eastAsia="Times New Roman" w:hAnsi="Arial" w:cs="Arial"/>
                <w:color w:val="auto"/>
                <w:lang w:eastAsia="en-US"/>
              </w:rPr>
              <w:t>patients across the local community</w:t>
            </w:r>
            <w:r w:rsidR="00287B1A" w:rsidRPr="009D1849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  <w:p w14:paraId="16E8EA84" w14:textId="3785E6BB" w:rsidR="00D64418" w:rsidRPr="009D1849" w:rsidRDefault="00D64418" w:rsidP="00D0540E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CB1B71" w:rsidRPr="009D1849" w14:paraId="279C8DDE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4F88B9BC" w14:textId="77777777" w:rsidR="00CB1B71" w:rsidRPr="009D1849" w:rsidRDefault="00CA07AE" w:rsidP="00385A61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4) </w:t>
            </w:r>
            <w:r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L</w:t>
            </w:r>
            <w:r w:rsidR="00CB1B71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awful basis</w:t>
            </w:r>
            <w:r w:rsidR="00CB1B71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for</w:t>
            </w:r>
            <w:r w:rsidR="00ED630F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processing</w:t>
            </w:r>
          </w:p>
        </w:tc>
        <w:tc>
          <w:tcPr>
            <w:tcW w:w="7371" w:type="dxa"/>
            <w:noWrap/>
          </w:tcPr>
          <w:p w14:paraId="4B4A50DE" w14:textId="2BFB8973" w:rsidR="00D0540E" w:rsidRPr="009D1849" w:rsidRDefault="00D0540E" w:rsidP="00D0540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9D18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Under </w:t>
            </w:r>
            <w:r w:rsidR="00DE3C63" w:rsidRPr="009D1849">
              <w:rPr>
                <w:rFonts w:ascii="Arial" w:eastAsia="Calibri" w:hAnsi="Arial" w:cs="Arial"/>
                <w:color w:val="000000"/>
                <w:sz w:val="24"/>
                <w:szCs w:val="24"/>
              </w:rPr>
              <w:t>the General Data Protection Regulation (</w:t>
            </w:r>
            <w:r w:rsidRPr="009D1849">
              <w:rPr>
                <w:rFonts w:ascii="Arial" w:eastAsia="Calibri" w:hAnsi="Arial" w:cs="Arial"/>
                <w:color w:val="000000"/>
                <w:sz w:val="24"/>
                <w:szCs w:val="24"/>
              </w:rPr>
              <w:t>GDPR</w:t>
            </w:r>
            <w:r w:rsidR="00DE3C63" w:rsidRPr="009D1849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  <w:r w:rsidRPr="009D18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the lawful basis for processing this data is found at Articles:    </w:t>
            </w:r>
          </w:p>
          <w:p w14:paraId="7D0D2558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5E92DB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5334DF5B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D184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6(1)(e) Processing is necessary for the performance of a task carried out in the public interest or in the exercise of official authority vested in the controller,</w:t>
            </w:r>
          </w:p>
          <w:p w14:paraId="2E699361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2347CA9B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D184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and </w:t>
            </w:r>
          </w:p>
          <w:p w14:paraId="14345209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63BDFD0" w14:textId="77777777" w:rsidR="00D0540E" w:rsidRPr="009D1849" w:rsidRDefault="00D0540E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9D184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9(2)(h) Processing is necessary for the purposes of the provision of health or social care or treatment.</w:t>
            </w:r>
          </w:p>
          <w:p w14:paraId="41E03301" w14:textId="77777777" w:rsidR="00B76554" w:rsidRPr="009D1849" w:rsidRDefault="00B76554" w:rsidP="00D0540E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3205FF69" w14:textId="17F0273C" w:rsidR="00D0540E" w:rsidRPr="00D64418" w:rsidRDefault="00B76554" w:rsidP="00D64418">
            <w:pPr>
              <w:pStyle w:val="Default"/>
              <w:rPr>
                <w:rFonts w:ascii="Arial" w:hAnsi="Arial" w:cs="Arial"/>
              </w:rPr>
            </w:pPr>
            <w:r w:rsidRPr="009D1849">
              <w:rPr>
                <w:rFonts w:ascii="Arial" w:hAnsi="Arial" w:cs="Arial"/>
              </w:rPr>
              <w:t xml:space="preserve">The ‘Notice’ issued by the Secretary of State for Health sets aside the requirements of Common Law Duty of Confidentially for </w:t>
            </w:r>
            <w:r w:rsidR="009730E7">
              <w:rPr>
                <w:rFonts w:ascii="Arial" w:hAnsi="Arial" w:cs="Arial"/>
              </w:rPr>
              <w:t>COVID</w:t>
            </w:r>
            <w:r w:rsidRPr="009D1849">
              <w:rPr>
                <w:rFonts w:ascii="Arial" w:hAnsi="Arial" w:cs="Arial"/>
              </w:rPr>
              <w:t xml:space="preserve">-19 purposes, </w:t>
            </w:r>
            <w:r w:rsidRPr="009D1849">
              <w:rPr>
                <w:rFonts w:ascii="Arial" w:hAnsi="Arial" w:cs="Arial"/>
                <w:i/>
                <w:iCs/>
              </w:rPr>
              <w:t xml:space="preserve">Regulation 4 Health Service Control of Patient Information Regulations 2002 </w:t>
            </w:r>
            <w:r w:rsidRPr="009D1849">
              <w:rPr>
                <w:rFonts w:ascii="Arial" w:hAnsi="Arial" w:cs="Arial"/>
              </w:rPr>
              <w:t xml:space="preserve">provides that </w:t>
            </w:r>
            <w:r w:rsidRPr="009D1849">
              <w:rPr>
                <w:rFonts w:ascii="Arial" w:hAnsi="Arial" w:cs="Arial"/>
                <w:i/>
                <w:iCs/>
              </w:rPr>
              <w:t xml:space="preserve">‘information may be processed in accordance with these Regulations, notwithstanding any common law obligation of confidence’, </w:t>
            </w:r>
            <w:r w:rsidRPr="009D1849">
              <w:rPr>
                <w:rFonts w:ascii="Arial" w:hAnsi="Arial" w:cs="Arial"/>
              </w:rPr>
              <w:t xml:space="preserve">meaning that identifiable patient data can be shared with other organisations where it is ‘necessary’ for a </w:t>
            </w:r>
            <w:r w:rsidR="009730E7">
              <w:rPr>
                <w:rFonts w:ascii="Arial" w:hAnsi="Arial" w:cs="Arial"/>
              </w:rPr>
              <w:t>COVID</w:t>
            </w:r>
            <w:r w:rsidRPr="009D1849">
              <w:rPr>
                <w:rFonts w:ascii="Arial" w:hAnsi="Arial" w:cs="Arial"/>
              </w:rPr>
              <w:t>-19 purpose.</w:t>
            </w:r>
          </w:p>
          <w:p w14:paraId="2B24389C" w14:textId="77777777" w:rsidR="00743FDF" w:rsidRPr="009D1849" w:rsidRDefault="00743FDF" w:rsidP="00D0540E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2C7B02" w:rsidRPr="009D1849" w14:paraId="08300397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1037A917" w14:textId="77777777" w:rsidR="002C7B02" w:rsidRDefault="00CA07AE" w:rsidP="003824E6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5) </w:t>
            </w:r>
            <w:r w:rsidR="00B7041D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R</w:t>
            </w:r>
            <w:r w:rsidR="002C7B02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ecipient or categories of recipients</w:t>
            </w:r>
            <w:r w:rsidR="002C7B02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of the </w:t>
            </w:r>
            <w:r w:rsidR="0094670B" w:rsidRPr="009D1849">
              <w:rPr>
                <w:rFonts w:ascii="Arial" w:eastAsia="Times New Roman" w:hAnsi="Arial" w:cs="Arial"/>
                <w:color w:val="auto"/>
                <w:lang w:eastAsia="en-US"/>
              </w:rPr>
              <w:t>processed data</w:t>
            </w:r>
          </w:p>
          <w:p w14:paraId="3BFB4548" w14:textId="136120E5" w:rsidR="00D64418" w:rsidRPr="009D1849" w:rsidRDefault="00D64418" w:rsidP="003824E6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  <w:tc>
          <w:tcPr>
            <w:tcW w:w="7371" w:type="dxa"/>
            <w:noWrap/>
          </w:tcPr>
          <w:p w14:paraId="319DA782" w14:textId="3114B71F" w:rsidR="00ED7839" w:rsidRPr="009D1849" w:rsidRDefault="00385A61" w:rsidP="00D644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849">
              <w:rPr>
                <w:rFonts w:ascii="Arial" w:hAnsi="Arial" w:cs="Arial"/>
                <w:sz w:val="24"/>
                <w:szCs w:val="24"/>
              </w:rPr>
              <w:t xml:space="preserve">Health and social care organisations, GPs, </w:t>
            </w:r>
            <w:r w:rsidR="0055725E" w:rsidRPr="009D1849">
              <w:rPr>
                <w:rFonts w:ascii="Arial" w:hAnsi="Arial" w:cs="Arial"/>
                <w:sz w:val="24"/>
                <w:szCs w:val="24"/>
              </w:rPr>
              <w:t>Arm’s Length</w:t>
            </w:r>
            <w:r w:rsidR="00E92A04" w:rsidRPr="009D1849">
              <w:rPr>
                <w:rFonts w:ascii="Arial" w:hAnsi="Arial" w:cs="Arial"/>
                <w:sz w:val="24"/>
                <w:szCs w:val="24"/>
              </w:rPr>
              <w:t xml:space="preserve"> Bodies (such as </w:t>
            </w:r>
            <w:r w:rsidR="00366FB2" w:rsidRPr="009D1849">
              <w:rPr>
                <w:rFonts w:ascii="Arial" w:hAnsi="Arial" w:cs="Arial"/>
                <w:sz w:val="24"/>
                <w:szCs w:val="24"/>
              </w:rPr>
              <w:t xml:space="preserve">NHS Digital and </w:t>
            </w:r>
            <w:r w:rsidR="00E92A04" w:rsidRPr="009D1849">
              <w:rPr>
                <w:rFonts w:ascii="Arial" w:hAnsi="Arial" w:cs="Arial"/>
                <w:sz w:val="24"/>
                <w:szCs w:val="24"/>
              </w:rPr>
              <w:t>Public Health England)</w:t>
            </w:r>
            <w:r w:rsidR="00225F61">
              <w:rPr>
                <w:rFonts w:ascii="Arial" w:hAnsi="Arial" w:cs="Arial"/>
                <w:sz w:val="24"/>
                <w:szCs w:val="24"/>
              </w:rPr>
              <w:t>,</w:t>
            </w:r>
            <w:r w:rsidR="00E92A04" w:rsidRPr="009D1849">
              <w:rPr>
                <w:rFonts w:ascii="Arial" w:hAnsi="Arial" w:cs="Arial"/>
                <w:sz w:val="24"/>
                <w:szCs w:val="24"/>
              </w:rPr>
              <w:t xml:space="preserve"> local authorities</w:t>
            </w:r>
            <w:r w:rsidR="00B21FF0" w:rsidRPr="009D18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1B71" w:rsidRPr="009D1849" w14:paraId="79B2BDEB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350677C5" w14:textId="77777777" w:rsidR="00CB1B71" w:rsidRPr="009D1849" w:rsidRDefault="00E92A04" w:rsidP="003824E6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lastRenderedPageBreak/>
              <w:t>6</w:t>
            </w:r>
            <w:r w:rsidR="00CA7472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) </w:t>
            </w:r>
            <w:r w:rsidR="00CB1B71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542D9815" w14:textId="48B10DD8" w:rsidR="00CB1B71" w:rsidRPr="009D1849" w:rsidRDefault="00CA7472" w:rsidP="00255F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the data that is being shared and have any inaccuracies corrected. </w:t>
            </w:r>
            <w:r w:rsidR="00D36F2D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can exercise this right by contacting the organisation</w:t>
            </w:r>
            <w:r w:rsidR="00E75DAC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’s data protection officer, whose details are listed above.</w:t>
            </w:r>
            <w:r w:rsidR="00D84B04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There is no right to have accurate medical records de</w:t>
            </w:r>
            <w:r w:rsidR="00D26BAB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leted except when ordered by a C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ourt of Law.</w:t>
            </w:r>
          </w:p>
          <w:p w14:paraId="74303D76" w14:textId="77777777" w:rsidR="00D26BAB" w:rsidRPr="009D1849" w:rsidRDefault="00D26BAB" w:rsidP="00255F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A7472" w:rsidRPr="009D1849" w14:paraId="171F61EA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592CC97F" w14:textId="77777777" w:rsidR="00CA7472" w:rsidRPr="009D1849" w:rsidRDefault="00CA7472" w:rsidP="003824E6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8) </w:t>
            </w:r>
            <w:r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Retention period</w:t>
            </w: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</w:t>
            </w:r>
          </w:p>
        </w:tc>
        <w:tc>
          <w:tcPr>
            <w:tcW w:w="7371" w:type="dxa"/>
            <w:noWrap/>
          </w:tcPr>
          <w:p w14:paraId="3BD5E0D7" w14:textId="2835CB43" w:rsidR="00D64418" w:rsidRPr="008E4EFC" w:rsidRDefault="00B91BB2" w:rsidP="008E4EFC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in line with the law and national guidance. </w:t>
            </w:r>
            <w:hyperlink r:id="rId12" w:history="1">
              <w:r w:rsidRPr="009D1849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https://digital.nhs.uk/article/1202/Records-Management-Code-of-Practice-for-Health-and-Social-Care-2016</w:t>
              </w:r>
            </w:hyperlink>
            <w:r w:rsidRPr="009D184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9D1849" w14:paraId="21DB27D4" w14:textId="77777777" w:rsidTr="004A465C">
        <w:trPr>
          <w:cantSplit/>
          <w:trHeight w:val="300"/>
        </w:trPr>
        <w:tc>
          <w:tcPr>
            <w:tcW w:w="3227" w:type="dxa"/>
            <w:noWrap/>
          </w:tcPr>
          <w:p w14:paraId="29FBFE43" w14:textId="77777777" w:rsidR="002C7B02" w:rsidRPr="009D1849" w:rsidRDefault="00B7041D" w:rsidP="003824E6">
            <w:pPr>
              <w:pStyle w:val="Default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>9</w:t>
            </w:r>
            <w:r w:rsidR="003902E4"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) </w:t>
            </w:r>
            <w:r w:rsidRPr="009D1849">
              <w:rPr>
                <w:rFonts w:ascii="Arial" w:eastAsia="Times New Roman" w:hAnsi="Arial" w:cs="Arial"/>
                <w:color w:val="auto"/>
                <w:lang w:eastAsia="en-US"/>
              </w:rPr>
              <w:t xml:space="preserve"> </w:t>
            </w:r>
            <w:r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R</w:t>
            </w:r>
            <w:r w:rsidR="002C7B02"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 xml:space="preserve">ight to </w:t>
            </w:r>
            <w:r w:rsidRPr="009D1849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Complain</w:t>
            </w:r>
          </w:p>
        </w:tc>
        <w:tc>
          <w:tcPr>
            <w:tcW w:w="7371" w:type="dxa"/>
            <w:noWrap/>
          </w:tcPr>
          <w:p w14:paraId="43562948" w14:textId="77777777" w:rsidR="002C7B02" w:rsidRPr="009D1849" w:rsidRDefault="00B7041D" w:rsidP="00255F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complain to </w:t>
            </w:r>
            <w:r w:rsidR="007D3F2A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</w:t>
            </w:r>
            <w:r w:rsidR="00BD29A5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Commissioner’s</w:t>
            </w:r>
            <w:r w:rsidR="007D3F2A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Office</w:t>
            </w:r>
            <w:r w:rsidR="001E0F75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, you can use </w:t>
            </w:r>
            <w:r w:rsidR="009974F0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this link</w:t>
            </w:r>
            <w:r w:rsidR="007D3F2A" w:rsidRPr="009D184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7D3F2A" w:rsidRPr="009D1849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="007D3F2A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B7A79EF" w14:textId="77777777" w:rsidR="003902E4" w:rsidRPr="009D1849" w:rsidRDefault="003902E4" w:rsidP="00255F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4A4AA4F" w14:textId="4B6CEBB0" w:rsidR="007D3F2A" w:rsidRPr="009D1849" w:rsidRDefault="009974F0" w:rsidP="00BD29A5">
            <w:pPr>
              <w:shd w:val="clear" w:color="auto" w:fill="FFFFFF"/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or call </w:t>
            </w:r>
            <w:r w:rsidR="001E0F75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their 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helpline</w:t>
            </w:r>
            <w:r w:rsidR="00282A2B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at</w:t>
            </w: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F0BEC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0303 123 1113</w:t>
            </w:r>
            <w:r w:rsidR="003902E4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(local rate)</w:t>
            </w:r>
            <w:r w:rsidR="00AB5F8C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F0BEC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or 01625 545 745</w:t>
            </w:r>
            <w:r w:rsidR="003902E4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(national </w:t>
            </w:r>
            <w:r w:rsidR="00FF0BEC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rate</w:t>
            </w:r>
            <w:r w:rsidR="003902E4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="00282A2B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3C263C11" w14:textId="2D9FBF79" w:rsidR="00FF0BEC" w:rsidRPr="009D1849" w:rsidRDefault="003902E4" w:rsidP="00BD29A5">
            <w:pPr>
              <w:shd w:val="clear" w:color="auto" w:fill="FFFFFF"/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There are National Offices for Scotland, Northern Ireland and Wales, </w:t>
            </w:r>
            <w:r w:rsidR="009974F0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(see ICO website)</w:t>
            </w:r>
            <w:r w:rsidR="00282A2B" w:rsidRPr="009D184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6188C757" w14:textId="32C38CA0" w:rsidR="002C14D3" w:rsidRDefault="002C14D3" w:rsidP="00DF2F21">
      <w:pPr>
        <w:spacing w:after="0"/>
        <w:rPr>
          <w:rFonts w:ascii="Arial" w:hAnsi="Arial" w:cs="Arial"/>
          <w:sz w:val="24"/>
          <w:szCs w:val="24"/>
        </w:rPr>
      </w:pPr>
    </w:p>
    <w:p w14:paraId="12F6B450" w14:textId="1D7020E7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71AB0E77" w14:textId="4A56CF2F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7F5723E6" w14:textId="4D0928FD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73764441" w14:textId="1B25635B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046169B6" w14:textId="282121D1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1A1B1955" w14:textId="1CA79385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63D30D49" w14:textId="32B19DA9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62FA24B3" w14:textId="315ECBBB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1CBAA392" w14:textId="3F21DB53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10E7DD57" w14:textId="2A231272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1E876FF7" w14:textId="4CDF1452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251B7378" w14:textId="292988BA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396F2202" w14:textId="777889C7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664A9C70" w14:textId="57606C59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29296F3F" w14:textId="359D805B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7651ECEF" w14:textId="3FFB90C6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30EDD0D3" w14:textId="2E7100C6" w:rsidR="00990EF7" w:rsidRP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403788C4" w14:textId="2D86A311" w:rsidR="00990EF7" w:rsidRDefault="00990EF7" w:rsidP="00990EF7">
      <w:pPr>
        <w:rPr>
          <w:rFonts w:ascii="Arial" w:hAnsi="Arial" w:cs="Arial"/>
          <w:sz w:val="24"/>
          <w:szCs w:val="24"/>
        </w:rPr>
      </w:pPr>
    </w:p>
    <w:p w14:paraId="212A912E" w14:textId="77777777" w:rsidR="00990EF7" w:rsidRPr="00990EF7" w:rsidRDefault="00990EF7" w:rsidP="00990EF7">
      <w:pPr>
        <w:ind w:firstLine="720"/>
        <w:rPr>
          <w:rFonts w:ascii="Arial" w:hAnsi="Arial" w:cs="Arial"/>
          <w:sz w:val="24"/>
          <w:szCs w:val="24"/>
        </w:rPr>
      </w:pPr>
    </w:p>
    <w:sectPr w:rsidR="00990EF7" w:rsidRPr="00990EF7" w:rsidSect="003902E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69A6" w14:textId="77777777" w:rsidR="00883BF2" w:rsidRDefault="00883BF2" w:rsidP="00F07C61">
      <w:pPr>
        <w:spacing w:after="0" w:line="240" w:lineRule="auto"/>
      </w:pPr>
      <w:r>
        <w:separator/>
      </w:r>
    </w:p>
  </w:endnote>
  <w:endnote w:type="continuationSeparator" w:id="0">
    <w:p w14:paraId="76AD4D51" w14:textId="77777777" w:rsidR="00883BF2" w:rsidRDefault="00883BF2" w:rsidP="00F07C61">
      <w:pPr>
        <w:spacing w:after="0" w:line="240" w:lineRule="auto"/>
      </w:pPr>
      <w:r>
        <w:continuationSeparator/>
      </w:r>
    </w:p>
  </w:endnote>
  <w:endnote w:type="continuationNotice" w:id="1">
    <w:p w14:paraId="42155638" w14:textId="77777777" w:rsidR="00883BF2" w:rsidRDefault="00883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8F7D" w14:textId="2BD63551" w:rsidR="00194B98" w:rsidRPr="00990EF7" w:rsidRDefault="00194B98" w:rsidP="00194B98">
    <w:pPr>
      <w:pStyle w:val="Footer"/>
      <w:rPr>
        <w:rFonts w:ascii="Arial" w:hAnsi="Arial" w:cs="Arial"/>
        <w:sz w:val="20"/>
        <w:szCs w:val="20"/>
      </w:rPr>
    </w:pPr>
    <w:r w:rsidRPr="00990EF7">
      <w:rPr>
        <w:rFonts w:ascii="Arial" w:hAnsi="Arial" w:cs="Arial"/>
        <w:sz w:val="20"/>
        <w:szCs w:val="20"/>
      </w:rPr>
      <w:t xml:space="preserve">Privacy Notice – </w:t>
    </w:r>
    <w:r w:rsidR="009730E7" w:rsidRPr="00990EF7">
      <w:rPr>
        <w:rFonts w:ascii="Arial" w:hAnsi="Arial" w:cs="Arial"/>
        <w:sz w:val="20"/>
        <w:szCs w:val="20"/>
      </w:rPr>
      <w:t>COVID</w:t>
    </w:r>
    <w:r w:rsidRPr="00990EF7">
      <w:rPr>
        <w:rFonts w:ascii="Arial" w:hAnsi="Arial" w:cs="Arial"/>
        <w:sz w:val="20"/>
        <w:szCs w:val="20"/>
      </w:rPr>
      <w:t>-19 vaccinations for individuals</w:t>
    </w:r>
  </w:p>
  <w:p w14:paraId="11609D88" w14:textId="77777777" w:rsidR="00194B98" w:rsidRPr="00990EF7" w:rsidRDefault="00194B98" w:rsidP="00194B98">
    <w:pPr>
      <w:pStyle w:val="Footer"/>
      <w:rPr>
        <w:rFonts w:ascii="Arial" w:hAnsi="Arial" w:cs="Arial"/>
        <w:sz w:val="20"/>
        <w:szCs w:val="20"/>
      </w:rPr>
    </w:pPr>
    <w:r w:rsidRPr="00990EF7">
      <w:rPr>
        <w:rFonts w:ascii="Arial" w:hAnsi="Arial" w:cs="Arial"/>
        <w:sz w:val="20"/>
        <w:szCs w:val="20"/>
      </w:rPr>
      <w:t>December 2020</w:t>
    </w:r>
  </w:p>
  <w:p w14:paraId="18A9DCF0" w14:textId="6992D529" w:rsidR="00ED7839" w:rsidRPr="00990EF7" w:rsidRDefault="00194B98" w:rsidP="00194B98">
    <w:pPr>
      <w:pStyle w:val="Footer"/>
      <w:rPr>
        <w:rFonts w:ascii="Arial" w:hAnsi="Arial" w:cs="Arial"/>
        <w:sz w:val="20"/>
        <w:szCs w:val="20"/>
      </w:rPr>
    </w:pPr>
    <w:r w:rsidRPr="00990EF7">
      <w:rPr>
        <w:rFonts w:ascii="Arial" w:hAnsi="Arial" w:cs="Arial"/>
        <w:sz w:val="20"/>
        <w:szCs w:val="20"/>
      </w:rPr>
      <w:t xml:space="preserve">Page Number </w:t>
    </w:r>
    <w:r w:rsidRPr="00990EF7">
      <w:rPr>
        <w:rFonts w:ascii="Arial" w:hAnsi="Arial" w:cs="Arial"/>
        <w:sz w:val="20"/>
        <w:szCs w:val="20"/>
      </w:rPr>
      <w:fldChar w:fldCharType="begin"/>
    </w:r>
    <w:r w:rsidRPr="00990EF7">
      <w:rPr>
        <w:rFonts w:ascii="Arial" w:hAnsi="Arial" w:cs="Arial"/>
        <w:sz w:val="20"/>
        <w:szCs w:val="20"/>
      </w:rPr>
      <w:instrText xml:space="preserve"> PAGE   \* MERGEFORMAT </w:instrText>
    </w:r>
    <w:r w:rsidRPr="00990EF7">
      <w:rPr>
        <w:rFonts w:ascii="Arial" w:hAnsi="Arial" w:cs="Arial"/>
        <w:sz w:val="20"/>
        <w:szCs w:val="20"/>
      </w:rPr>
      <w:fldChar w:fldCharType="separate"/>
    </w:r>
    <w:r w:rsidR="00547EF3">
      <w:rPr>
        <w:rFonts w:ascii="Arial" w:hAnsi="Arial" w:cs="Arial"/>
        <w:noProof/>
        <w:sz w:val="20"/>
        <w:szCs w:val="20"/>
      </w:rPr>
      <w:t>2</w:t>
    </w:r>
    <w:r w:rsidRPr="00990EF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D237" w14:textId="77777777" w:rsidR="00883BF2" w:rsidRDefault="00883BF2" w:rsidP="00F07C61">
      <w:pPr>
        <w:spacing w:after="0" w:line="240" w:lineRule="auto"/>
      </w:pPr>
      <w:r>
        <w:separator/>
      </w:r>
    </w:p>
  </w:footnote>
  <w:footnote w:type="continuationSeparator" w:id="0">
    <w:p w14:paraId="24D13F4B" w14:textId="77777777" w:rsidR="00883BF2" w:rsidRDefault="00883BF2" w:rsidP="00F07C61">
      <w:pPr>
        <w:spacing w:after="0" w:line="240" w:lineRule="auto"/>
      </w:pPr>
      <w:r>
        <w:continuationSeparator/>
      </w:r>
    </w:p>
  </w:footnote>
  <w:footnote w:type="continuationNotice" w:id="1">
    <w:p w14:paraId="6AC8B282" w14:textId="77777777" w:rsidR="00883BF2" w:rsidRDefault="00883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96DB" w14:textId="26E68B71" w:rsidR="000E1C64" w:rsidRDefault="000E1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4538" w14:textId="75803288" w:rsidR="000E1C64" w:rsidRPr="00990EF7" w:rsidRDefault="000E1C64" w:rsidP="00B7041D">
    <w:pPr>
      <w:pStyle w:val="Header"/>
      <w:rPr>
        <w:rFonts w:ascii="Arial" w:hAnsi="Arial" w:cs="Arial"/>
        <w:b/>
        <w:noProof/>
        <w:sz w:val="36"/>
        <w:szCs w:val="36"/>
        <w:lang w:eastAsia="en-GB"/>
      </w:rPr>
    </w:pPr>
    <w:r w:rsidRPr="00990EF7">
      <w:rPr>
        <w:rFonts w:ascii="Arial" w:hAnsi="Arial" w:cs="Arial"/>
        <w:b/>
        <w:noProof/>
        <w:sz w:val="36"/>
        <w:szCs w:val="36"/>
        <w:lang w:eastAsia="en-GB"/>
      </w:rPr>
      <w:t xml:space="preserve"> Privacy Notice – </w:t>
    </w:r>
    <w:r w:rsidR="009730E7" w:rsidRPr="00990EF7">
      <w:rPr>
        <w:rFonts w:ascii="Arial" w:hAnsi="Arial" w:cs="Arial"/>
        <w:b/>
        <w:noProof/>
        <w:sz w:val="36"/>
        <w:szCs w:val="36"/>
        <w:lang w:eastAsia="en-GB"/>
      </w:rPr>
      <w:t>COVID</w:t>
    </w:r>
    <w:r w:rsidR="00536A6E" w:rsidRPr="00990EF7">
      <w:rPr>
        <w:rFonts w:ascii="Arial" w:hAnsi="Arial" w:cs="Arial"/>
        <w:b/>
        <w:noProof/>
        <w:sz w:val="36"/>
        <w:szCs w:val="36"/>
        <w:lang w:eastAsia="en-GB"/>
      </w:rPr>
      <w:t>-19</w:t>
    </w:r>
    <w:r w:rsidR="00E53098" w:rsidRPr="00990EF7">
      <w:rPr>
        <w:rFonts w:ascii="Arial" w:hAnsi="Arial" w:cs="Arial"/>
        <w:b/>
        <w:noProof/>
        <w:sz w:val="36"/>
        <w:szCs w:val="36"/>
        <w:lang w:eastAsia="en-GB"/>
      </w:rPr>
      <w:t xml:space="preserve"> vaccinations</w:t>
    </w:r>
    <w:r w:rsidR="00E75DAC" w:rsidRPr="00990EF7">
      <w:rPr>
        <w:rFonts w:ascii="Arial" w:hAnsi="Arial" w:cs="Arial"/>
        <w:b/>
        <w:noProof/>
        <w:sz w:val="36"/>
        <w:szCs w:val="36"/>
        <w:lang w:eastAsia="en-GB"/>
      </w:rPr>
      <w:t xml:space="preserve"> for in</w:t>
    </w:r>
    <w:r w:rsidR="00282A2B" w:rsidRPr="00990EF7">
      <w:rPr>
        <w:rFonts w:ascii="Arial" w:hAnsi="Arial" w:cs="Arial"/>
        <w:b/>
        <w:noProof/>
        <w:sz w:val="36"/>
        <w:szCs w:val="36"/>
        <w:lang w:eastAsia="en-GB"/>
      </w:rPr>
      <w:t>dividuals</w:t>
    </w:r>
  </w:p>
  <w:p w14:paraId="51E1278C" w14:textId="77777777" w:rsidR="000E1C64" w:rsidRPr="00CA7472" w:rsidRDefault="000E1C64" w:rsidP="00B7041D">
    <w:pPr>
      <w:pStyle w:val="Header"/>
      <w:rPr>
        <w:rFonts w:ascii="Verdana" w:hAnsi="Verdana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9B9E" w14:textId="1F2D4616" w:rsidR="000E1C64" w:rsidRDefault="000E1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788"/>
    <w:multiLevelType w:val="hybridMultilevel"/>
    <w:tmpl w:val="3E54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E4E1C"/>
    <w:multiLevelType w:val="multilevel"/>
    <w:tmpl w:val="925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5FC5"/>
    <w:multiLevelType w:val="hybridMultilevel"/>
    <w:tmpl w:val="C77A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B94A1A"/>
    <w:multiLevelType w:val="hybridMultilevel"/>
    <w:tmpl w:val="31D2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22B6C"/>
    <w:multiLevelType w:val="hybridMultilevel"/>
    <w:tmpl w:val="95EA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121A3"/>
    <w:rsid w:val="00044C16"/>
    <w:rsid w:val="00045325"/>
    <w:rsid w:val="00063143"/>
    <w:rsid w:val="00071F17"/>
    <w:rsid w:val="000919EF"/>
    <w:rsid w:val="000A31F2"/>
    <w:rsid w:val="000B696B"/>
    <w:rsid w:val="000C71E2"/>
    <w:rsid w:val="000E1C64"/>
    <w:rsid w:val="000E754C"/>
    <w:rsid w:val="000F53F3"/>
    <w:rsid w:val="0015186A"/>
    <w:rsid w:val="00157933"/>
    <w:rsid w:val="001715FA"/>
    <w:rsid w:val="00171EB6"/>
    <w:rsid w:val="00194B98"/>
    <w:rsid w:val="001B6889"/>
    <w:rsid w:val="001C2436"/>
    <w:rsid w:val="001D62C2"/>
    <w:rsid w:val="001D7512"/>
    <w:rsid w:val="001E0F75"/>
    <w:rsid w:val="001E42A1"/>
    <w:rsid w:val="001F1715"/>
    <w:rsid w:val="00213539"/>
    <w:rsid w:val="00225F61"/>
    <w:rsid w:val="00230766"/>
    <w:rsid w:val="00235871"/>
    <w:rsid w:val="00235FA1"/>
    <w:rsid w:val="00240F4F"/>
    <w:rsid w:val="00255F4D"/>
    <w:rsid w:val="00256999"/>
    <w:rsid w:val="00273215"/>
    <w:rsid w:val="00282A2B"/>
    <w:rsid w:val="00286CCD"/>
    <w:rsid w:val="00287B1A"/>
    <w:rsid w:val="002A1FE8"/>
    <w:rsid w:val="002A3A43"/>
    <w:rsid w:val="002C14D3"/>
    <w:rsid w:val="002C42CC"/>
    <w:rsid w:val="002C7B02"/>
    <w:rsid w:val="002D1BDC"/>
    <w:rsid w:val="00320D04"/>
    <w:rsid w:val="00340874"/>
    <w:rsid w:val="00355778"/>
    <w:rsid w:val="00366FB2"/>
    <w:rsid w:val="003824E6"/>
    <w:rsid w:val="00385A61"/>
    <w:rsid w:val="003902E4"/>
    <w:rsid w:val="00392589"/>
    <w:rsid w:val="003A7914"/>
    <w:rsid w:val="003B04B9"/>
    <w:rsid w:val="003B1009"/>
    <w:rsid w:val="003C34B1"/>
    <w:rsid w:val="003E02C6"/>
    <w:rsid w:val="003E4C39"/>
    <w:rsid w:val="003F5FED"/>
    <w:rsid w:val="00406C09"/>
    <w:rsid w:val="00415AC8"/>
    <w:rsid w:val="00416D75"/>
    <w:rsid w:val="004266A0"/>
    <w:rsid w:val="00426EA7"/>
    <w:rsid w:val="0043087A"/>
    <w:rsid w:val="004618B6"/>
    <w:rsid w:val="00474DBB"/>
    <w:rsid w:val="004A465C"/>
    <w:rsid w:val="004C079C"/>
    <w:rsid w:val="004F3978"/>
    <w:rsid w:val="004F7C91"/>
    <w:rsid w:val="00501062"/>
    <w:rsid w:val="00516555"/>
    <w:rsid w:val="00523EAE"/>
    <w:rsid w:val="00524B0F"/>
    <w:rsid w:val="00533782"/>
    <w:rsid w:val="00536A56"/>
    <w:rsid w:val="00536A6E"/>
    <w:rsid w:val="00542616"/>
    <w:rsid w:val="005434B6"/>
    <w:rsid w:val="00547D23"/>
    <w:rsid w:val="00547EF3"/>
    <w:rsid w:val="00551DCA"/>
    <w:rsid w:val="00556724"/>
    <w:rsid w:val="0055725E"/>
    <w:rsid w:val="00573B1F"/>
    <w:rsid w:val="005820B0"/>
    <w:rsid w:val="00591683"/>
    <w:rsid w:val="005A7194"/>
    <w:rsid w:val="005D0EB2"/>
    <w:rsid w:val="005F004B"/>
    <w:rsid w:val="00635FE3"/>
    <w:rsid w:val="00643530"/>
    <w:rsid w:val="00653C79"/>
    <w:rsid w:val="006548C1"/>
    <w:rsid w:val="00656E6D"/>
    <w:rsid w:val="006750AD"/>
    <w:rsid w:val="00682B93"/>
    <w:rsid w:val="0068707D"/>
    <w:rsid w:val="00690E82"/>
    <w:rsid w:val="006A035B"/>
    <w:rsid w:val="006A3997"/>
    <w:rsid w:val="006A6874"/>
    <w:rsid w:val="006B7DB3"/>
    <w:rsid w:val="006C553E"/>
    <w:rsid w:val="006C60DC"/>
    <w:rsid w:val="006D0E9E"/>
    <w:rsid w:val="006E7228"/>
    <w:rsid w:val="006F57DC"/>
    <w:rsid w:val="006F7772"/>
    <w:rsid w:val="00703FCC"/>
    <w:rsid w:val="0073614E"/>
    <w:rsid w:val="00743FDF"/>
    <w:rsid w:val="00762408"/>
    <w:rsid w:val="0077606B"/>
    <w:rsid w:val="00776807"/>
    <w:rsid w:val="00784103"/>
    <w:rsid w:val="00797E1A"/>
    <w:rsid w:val="007D3121"/>
    <w:rsid w:val="007D3F2A"/>
    <w:rsid w:val="007E6854"/>
    <w:rsid w:val="00812359"/>
    <w:rsid w:val="00835999"/>
    <w:rsid w:val="00883BF2"/>
    <w:rsid w:val="0089679F"/>
    <w:rsid w:val="008B3F9E"/>
    <w:rsid w:val="008C2AD3"/>
    <w:rsid w:val="008E4EFC"/>
    <w:rsid w:val="00923A06"/>
    <w:rsid w:val="0094670B"/>
    <w:rsid w:val="0095127A"/>
    <w:rsid w:val="00960C4B"/>
    <w:rsid w:val="00962E8C"/>
    <w:rsid w:val="00967D20"/>
    <w:rsid w:val="00971718"/>
    <w:rsid w:val="009730E7"/>
    <w:rsid w:val="00974CBA"/>
    <w:rsid w:val="00990EF7"/>
    <w:rsid w:val="009974F0"/>
    <w:rsid w:val="009C177A"/>
    <w:rsid w:val="009D1849"/>
    <w:rsid w:val="00A01904"/>
    <w:rsid w:val="00A07D2B"/>
    <w:rsid w:val="00A27BFC"/>
    <w:rsid w:val="00A56E01"/>
    <w:rsid w:val="00A62E94"/>
    <w:rsid w:val="00A63F5D"/>
    <w:rsid w:val="00A75CE2"/>
    <w:rsid w:val="00A913BE"/>
    <w:rsid w:val="00A931C0"/>
    <w:rsid w:val="00AA28DE"/>
    <w:rsid w:val="00AB3317"/>
    <w:rsid w:val="00AB5F8C"/>
    <w:rsid w:val="00AB6922"/>
    <w:rsid w:val="00AE487C"/>
    <w:rsid w:val="00AF492E"/>
    <w:rsid w:val="00B05D93"/>
    <w:rsid w:val="00B13E29"/>
    <w:rsid w:val="00B17810"/>
    <w:rsid w:val="00B21FF0"/>
    <w:rsid w:val="00B30910"/>
    <w:rsid w:val="00B43F8C"/>
    <w:rsid w:val="00B7041D"/>
    <w:rsid w:val="00B761B7"/>
    <w:rsid w:val="00B76554"/>
    <w:rsid w:val="00B76C95"/>
    <w:rsid w:val="00B828C4"/>
    <w:rsid w:val="00B91BB2"/>
    <w:rsid w:val="00BB6FA9"/>
    <w:rsid w:val="00BD15C8"/>
    <w:rsid w:val="00BD29A5"/>
    <w:rsid w:val="00BD302C"/>
    <w:rsid w:val="00BE17C5"/>
    <w:rsid w:val="00BF2465"/>
    <w:rsid w:val="00C216D7"/>
    <w:rsid w:val="00C31A54"/>
    <w:rsid w:val="00C371E3"/>
    <w:rsid w:val="00C601B0"/>
    <w:rsid w:val="00CA07AE"/>
    <w:rsid w:val="00CA7472"/>
    <w:rsid w:val="00CB1B71"/>
    <w:rsid w:val="00CB2F51"/>
    <w:rsid w:val="00CC4722"/>
    <w:rsid w:val="00CD2095"/>
    <w:rsid w:val="00CE0C78"/>
    <w:rsid w:val="00CE1CDF"/>
    <w:rsid w:val="00CE6207"/>
    <w:rsid w:val="00CF55DF"/>
    <w:rsid w:val="00D0540E"/>
    <w:rsid w:val="00D160CA"/>
    <w:rsid w:val="00D26034"/>
    <w:rsid w:val="00D26BAB"/>
    <w:rsid w:val="00D36B9B"/>
    <w:rsid w:val="00D36F2D"/>
    <w:rsid w:val="00D44D59"/>
    <w:rsid w:val="00D6142D"/>
    <w:rsid w:val="00D64418"/>
    <w:rsid w:val="00D71AF2"/>
    <w:rsid w:val="00D84B04"/>
    <w:rsid w:val="00D9633A"/>
    <w:rsid w:val="00DD62A8"/>
    <w:rsid w:val="00DE3C63"/>
    <w:rsid w:val="00DF2F21"/>
    <w:rsid w:val="00DF3C3B"/>
    <w:rsid w:val="00E501E4"/>
    <w:rsid w:val="00E53098"/>
    <w:rsid w:val="00E75DAC"/>
    <w:rsid w:val="00E90F8F"/>
    <w:rsid w:val="00E92A04"/>
    <w:rsid w:val="00EA3CD2"/>
    <w:rsid w:val="00EA644E"/>
    <w:rsid w:val="00EB045C"/>
    <w:rsid w:val="00ED630F"/>
    <w:rsid w:val="00ED7839"/>
    <w:rsid w:val="00F07C61"/>
    <w:rsid w:val="00F31D37"/>
    <w:rsid w:val="00F50853"/>
    <w:rsid w:val="00F60F87"/>
    <w:rsid w:val="00F7543E"/>
    <w:rsid w:val="00F76C44"/>
    <w:rsid w:val="00F91B71"/>
    <w:rsid w:val="00FC4430"/>
    <w:rsid w:val="00FD28E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3C3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rsid w:val="00AB5F8C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link w:val="BalloonText"/>
    <w:rsid w:val="00AB5F8C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D3F2A"/>
    <w:rPr>
      <w:color w:val="808080"/>
      <w:shd w:val="clear" w:color="auto" w:fill="E6E6E6"/>
    </w:rPr>
  </w:style>
  <w:style w:type="paragraph" w:customStyle="1" w:styleId="Default">
    <w:name w:val="Default"/>
    <w:rsid w:val="00AF49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rsid w:val="00B21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FF0"/>
    <w:rPr>
      <w:sz w:val="20"/>
      <w:szCs w:val="20"/>
    </w:rPr>
  </w:style>
  <w:style w:type="character" w:customStyle="1" w:styleId="CommentTextChar">
    <w:name w:val="Comment Text Char"/>
    <w:link w:val="CommentText"/>
    <w:rsid w:val="00B21FF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1FF0"/>
    <w:rPr>
      <w:b/>
      <w:bCs/>
    </w:rPr>
  </w:style>
  <w:style w:type="character" w:customStyle="1" w:styleId="CommentSubjectChar">
    <w:name w:val="Comment Subject Char"/>
    <w:link w:val="CommentSubject"/>
    <w:rsid w:val="00B21FF0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global/contact-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gital.nhs.uk/article/1202/Records-Management-Code-of-Practice-for-Health-and-Social-Care-201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2" ma:contentTypeDescription="Create a new document." ma:contentTypeScope="" ma:versionID="7428413c28525e9d5ac4787ce74b3956">
  <xsd:schema xmlns:xsd="http://www.w3.org/2001/XMLSchema" xmlns:xs="http://www.w3.org/2001/XMLSchema" xmlns:p="http://schemas.microsoft.com/office/2006/metadata/properties" xmlns:ns2="2b36973d-ac62-4f31-bb5a-191d5cd8b460" xmlns:ns3="350feaab-73bb-48c5-a26f-acd18a0553cd" targetNamespace="http://schemas.microsoft.com/office/2006/metadata/properties" ma:root="true" ma:fieldsID="b0809e168e625dcd224c98d8070eeaf3" ns2:_="" ns3:_=""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E1043-532B-4013-82A6-24246B28BC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A83F34-0DDF-486F-BE50-0273C5848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D1430-6FC0-44D1-9D88-D047519BA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D91A1-EBB8-47CF-B3A1-2A83CCCD4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3388</CharactersWithSpaces>
  <SharedDoc>false</SharedDoc>
  <HLinks>
    <vt:vector size="12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https://digital.nhs.uk/article/1202/Records-Management-Code-of-Practice-for-Health-and-Social-Care-2016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creator/>
  <cp:lastModifiedBy/>
  <cp:revision>1</cp:revision>
  <cp:lastPrinted>2018-01-21T12:30:00Z</cp:lastPrinted>
  <dcterms:created xsi:type="dcterms:W3CDTF">2020-12-23T11:20:00Z</dcterms:created>
  <dcterms:modified xsi:type="dcterms:W3CDTF">2020-12-23T12:30:00Z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0x010100F40B62989DFC8A4DAC8E882680382342</vt:lpwstr>
  </property>
  <property fmtid="{D5CDD505-2E9C-101B-9397-08002B2CF9AE}" pid="3" name="Status">
    <vt:lpwstr>Available For Use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13</vt:lpwstr>
  </property>
  <property fmtid="{D5CDD505-2E9C-101B-9397-08002B2CF9AE}" pid="7" name="display_urn:schemas-microsoft-com:office:office#Document_x0020_Owner">
    <vt:lpwstr>Colette Allen</vt:lpwstr>
  </property>
  <property fmtid="{D5CDD505-2E9C-101B-9397-08002B2CF9AE}" pid="8" name="Date Approved">
    <vt:lpwstr>2020-01-16T00:00:00Z</vt:lpwstr>
  </property>
  <property fmtid="{D5CDD505-2E9C-101B-9397-08002B2CF9AE}" pid="9" name="Document Type">
    <vt:lpwstr>Template</vt:lpwstr>
  </property>
  <property fmtid="{D5CDD505-2E9C-101B-9397-08002B2CF9AE}" pid="10" name="Review Due">
    <vt:lpwstr>2020-01-16T00:00:00Z</vt:lpwstr>
  </property>
  <property fmtid="{D5CDD505-2E9C-101B-9397-08002B2CF9AE}" pid="11" name="Tags">
    <vt:lpwstr>;#Confidentiality;#Data Sharing;#Data Subject Rights;#</vt:lpwstr>
  </property>
  <property fmtid="{D5CDD505-2E9C-101B-9397-08002B2CF9AE}" pid="12" name="Organisation">
    <vt:lpwstr>;#Clinical Commissioning Group;#</vt:lpwstr>
  </property>
</Properties>
</file>